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4"/>
        <w:widowControl/>
        <w:jc w:val="center"/>
      </w:pPr>
      <w:bookmarkStart w:id="0" w:name="EB27918b975029400791a32c77356e8947"/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玉山县七一、姚源水库水源及灌区配套改造建设项目（下塘乡)</w:t>
      </w:r>
      <w:bookmarkEnd w:id="0"/>
      <w:r>
        <w:rPr>
          <w:rFonts w:hint="eastAsia" w:ascii="宋体" w:hAnsi="宋体" w:cs="宋体"/>
          <w:b/>
          <w:color w:val="000000"/>
          <w:sz w:val="36"/>
          <w:szCs w:val="36"/>
          <w:shd w:val="clear" w:color="auto" w:fill="FFFFFF"/>
        </w:rPr>
        <w:t>中标候选人公示</w:t>
      </w:r>
    </w:p>
    <w:p>
      <w:pPr>
        <w:widowControl/>
        <w:spacing w:line="400" w:lineRule="exact"/>
        <w:jc w:val="left"/>
        <w:rPr>
          <w:color w:val="000000" w:themeColor="text1"/>
          <w:sz w:val="13"/>
          <w:szCs w:val="13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> </w:t>
      </w:r>
      <w:r>
        <w:rPr>
          <w:rFonts w:hint="eastAsia" w:ascii="宋体" w:hAnsi="宋体" w:cs="宋体"/>
          <w:color w:val="000000" w:themeColor="text1"/>
          <w:sz w:val="24"/>
          <w:shd w:val="clear" w:color="auto" w:fill="FFFFFF"/>
        </w:rPr>
        <w:t> 玉山县七一、姚源水库水源及灌区配套改造建设项目（下塘乡)于2024年1月10日9：00时在</w:t>
      </w:r>
      <w:r>
        <w:rPr>
          <w:rFonts w:hint="eastAsia" w:ascii="宋体" w:hAnsi="宋体" w:cs="宋体"/>
          <w:color w:val="000000" w:themeColor="text1"/>
          <w:kern w:val="0"/>
          <w:sz w:val="24"/>
        </w:rPr>
        <w:t>上饶市公共资源交易中心玉山中心</w:t>
      </w:r>
      <w:r>
        <w:rPr>
          <w:rFonts w:hint="eastAsia" w:ascii="宋体" w:hAnsi="宋体" w:cs="宋体"/>
          <w:color w:val="000000" w:themeColor="text1"/>
          <w:sz w:val="24"/>
          <w:shd w:val="clear" w:color="auto" w:fill="FFFFFF"/>
        </w:rPr>
        <w:t>公开招标，至投标截止时间止，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</w:rPr>
        <w:t>共有</w:t>
      </w:r>
      <w:r>
        <w:rPr>
          <w:rFonts w:hint="eastAsia" w:ascii="宋体" w:hAnsi="宋体" w:cs="宋体"/>
          <w:color w:val="000000" w:themeColor="text1"/>
          <w:kern w:val="0"/>
          <w:sz w:val="24"/>
          <w:u w:val="single"/>
          <w:shd w:val="clear" w:color="auto" w:fill="FFFFFF"/>
        </w:rPr>
        <w:t>239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</w:rPr>
        <w:t>家投标单位递交了有效的投标文件</w:t>
      </w:r>
      <w:r>
        <w:rPr>
          <w:rFonts w:hint="eastAsia" w:ascii="宋体" w:hAnsi="宋体" w:cs="宋体"/>
          <w:color w:val="000000" w:themeColor="text1"/>
          <w:sz w:val="24"/>
          <w:shd w:val="clear" w:color="auto" w:fill="FFFFFF"/>
        </w:rPr>
        <w:t>，开标现场30家投标人进入资格评审。详细情况如下：</w:t>
      </w:r>
      <w:bookmarkStart w:id="1" w:name="_GoBack"/>
    </w:p>
    <w:tbl>
      <w:tblPr>
        <w:tblStyle w:val="5"/>
        <w:tblW w:w="93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4098"/>
        <w:gridCol w:w="709"/>
        <w:gridCol w:w="38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Cs w:val="21"/>
              </w:rPr>
            </w:pPr>
            <w:r>
              <w:rPr>
                <w:rStyle w:val="20"/>
                <w:rFonts w:hint="default"/>
                <w:b/>
                <w:color w:val="000000" w:themeColor="text1"/>
              </w:rPr>
              <w:t>序号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Cs w:val="21"/>
              </w:rPr>
            </w:pPr>
            <w:r>
              <w:rPr>
                <w:rStyle w:val="20"/>
                <w:rFonts w:hint="default"/>
                <w:b/>
                <w:color w:val="000000" w:themeColor="text1"/>
              </w:rPr>
              <w:t>投标单位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Cs w:val="21"/>
              </w:rPr>
            </w:pPr>
            <w:r>
              <w:rPr>
                <w:rStyle w:val="20"/>
                <w:rFonts w:hint="default"/>
                <w:b/>
                <w:color w:val="000000" w:themeColor="text1"/>
              </w:rPr>
              <w:t>序号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Cs w:val="21"/>
              </w:rPr>
            </w:pPr>
            <w:r>
              <w:rPr>
                <w:rStyle w:val="20"/>
                <w:rFonts w:hint="default"/>
                <w:b/>
                <w:color w:val="000000" w:themeColor="text1"/>
              </w:rPr>
              <w:t>投标单位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江西祥润水利建设有限公司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121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江苏鸿基水源科技股份有限公司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陕西光明建工集团有限公司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122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湖北楚曜水利水电工程有限公司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江西鹏达水利建设有限公司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123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山东弘润建设集团有限公司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江西丽龙水利建设有限公司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124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武汉德远恒通建设工程有限公司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吉安吉荣实业工程有限责任公司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125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杭州天恒水利建设有限公司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淳安县水利水电建设有限公司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126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湖南中胜市政建设有限公司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娄底市娄星水利水电建设有限责任公司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127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江西兴邦建设工程有限公司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浙江乾锦建设有限公司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128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江西中坊建设工程有限公司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山东海建水利工程有限公司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129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江西昌潭工程有限公司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东营市垦利区水利工程公司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130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江西景盛水利工程有限公司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江西汉淼水利建设有限公司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131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江西融宇工程管理有限公司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广东浩禹建设有限公司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132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昊滇建设集团有限公司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江西汇盟通建设工程有限公司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133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荣瑜建设集团有限公司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福建省岚禹建设工程有限公司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134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江西明佳建设有限公司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广东嘉应方海建设工程有限公司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135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江西达龙建设工程有限公司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嗣晟建工有限公司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136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四川盛锋建筑工程有限公司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河南水诚建设工程有限公司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137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宜昌大兴水利水电工程有限公司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四川晨沛建设工程有限公司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138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江西省伟安建设工程有限公司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江西宏工建设工程有限公司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139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江西沃达建设有限公司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安徽腾泰建筑工程有限公司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140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浦城县泓兴水利水电建筑工程有限公司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湖北彤天建设工程有限公司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141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南联建设集团有限公司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安徽展坤建设工程有限公司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142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福建方正立天建设工程有限公司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江西泰林建设工程有限公司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143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江西省明旭建设工程有限公司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四川合园水利工程有限公司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144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湖南东晖耀建设有限公司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安徽尚泰建筑工程有限公司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145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四川福钦建工集团有限公司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天亿建设集团有限公司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146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福建星洲水利水电工程有限公司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湖北驭水工程建设有限公司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147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江西合胜建设工程有限公司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福建省霞浦县江海水电工程建设有限公司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148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四川熙韵建筑工程有限公司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湖南弘湘建设工程管理有限公司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149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江西海东建设工程有限公司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江西伟能建设工程有限公司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150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河南省水利电力对外有限公司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31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湖北泽海水利水电工程有限责任公司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151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四川标新创异建筑工程有限公司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32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湖北宏业水利工程有限责任公司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152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江西中奋建设工程有限公司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33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江西祥迎建设工程有限公司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153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江西华禹水利水电工程有限公司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34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四川中梁建设工程有限公司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154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赣州市睿超建设工程有限公司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35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江西汉昌建设工程有限公司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155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江西省铁建建设有限公司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36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江西澎垦水利水电工程有限公司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156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陕西宝禹建设有限公司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37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江西顺和建设工程有限公司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157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吉安利发工程发展有限公司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38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江西乐禹水利建设有限公司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158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江西赣泽水利水电工程有限公司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39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江西昌垒建设工程有限公司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159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江西鼎盛建筑有限公司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40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江西省和泰建设工程有限公司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160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江西金剑建筑工程有限公司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41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江西汉泰建设工程有限公司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161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鹏盛建设集团有限公司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42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江西盛邦水利建设施工有限公司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162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江西石林建设工程有限公司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43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宇宸建设有限公司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163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仙桃市水利水电建筑工程有限公司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44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江西和鑫建设工程有限公司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164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南昌市第四建筑工程有限公司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45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江西雄川水利建设有限公司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165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嘉兴市金辉建设有限公司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46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福建融茂水利水电工程有限公司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166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吉锐建设集团有限公司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47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湖北山江伟业建设工程有限公司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167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江西省汉洁建设工程有限公司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48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湖南柏帆建设有限公司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168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四川信钰建设工程有限公司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49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湖北中金兴水利水电工程有限公司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169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江西长华建设工程有限公司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50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江西鄱丰建设工程有限公司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170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湖北宏博盛世建设有限公司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51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株洲市佳联建设工程有限公司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171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福建省班固建筑工程有限公司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52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江西华东龙源建设有限公司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172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山东禹盛源建设发展集团有限公司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53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湖南鑫丘建设工程有限公司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173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河南禹顺水利工程有限公司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54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福建省岩成工程建设有限公司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174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江西牧鑫建设工程有限公司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55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福建省江海工程咨询有限公司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175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滕王阁建工集团股份有限公司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56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江西华龙水利工程建设有限公司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176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江西超友建设有限公司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57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安徽驰远建设工程有限公司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177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江西君悦建设工程有限公司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58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湖北河泽水利水电工程有限公司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178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江西远发建设工程有限公司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59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四川宏圣建设工程有限公司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179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江西弘旭建设工程有限公司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60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江西河湖建设工程有限公司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180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江西创力水利工程有限公司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61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广东开元实业有限公司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181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武汉匡右建设工程有限公司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62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四川欣平建筑工程有限公司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182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筑邦建设集团股份有限公司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63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中创天晟建设集团有限公司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183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江西宏泉建设有限公司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64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四川新宇民信建筑工程有限公司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184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山东旭天建工集团有限公司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65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中晟堃嘉建设工程项目管理有限公司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185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江西九瑞建设工程有限公司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66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浙江沧海建设有限公司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186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江西旋信建设工程有限公司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67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四川天竣建设工程有限公司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187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华跃建工有限公司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68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四川展丰建设集团有限公司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188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四川凯伦建筑工程有限公司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69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四川正方建筑工程有限公司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189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山东一水建设有限公司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70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陕西悦荷水利水电工程有限公司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190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福建省东升鸿工程建设有限公司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71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广东港河建设有限公司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191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湖南省科宏建设开发有限公司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72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江西明鑫建设工程有限公司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192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湖南华力工程建设有限责任公司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73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江西皇泰建设工程有限公司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193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福建群达工程建设有限公司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74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江西国源水利建设有限公司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194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江西省恒泰水利工程有限公司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75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江西华园建设工程有限公司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195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安徽连晟建设工程有限公司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76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江西丰恒建设工程有限公司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196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万载县安泰水利水电建筑有限公司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77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立泰建设集团有限公司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197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江西金谷水利水电工程有限公司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78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江西屹立建设工程有限公司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198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江西大业建设工程有限公司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79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江西双诚建筑工程有限公司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199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江西泓珏建设工程有限公司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80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湖北龙驰建设工程有限公司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200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江西东浩建设有限公司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81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江西呈安建设工程有限公司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201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上饶市远大水建工程有限公司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82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湖北弘平正建设有限公司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202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山西华城大禹建设工程有限公司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83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湖北双丹水利水电工程有限公司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203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江西汉晨建设工程有限公司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84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菏泽市胜达水利工程有限公司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204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湖北楚峰水电工程有限公司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85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福建省东禹建设工程有限公司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205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江西荣淼建设工程有限公司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86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江西盛晖建设有限公司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206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江西淦盛建设工程有限公司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87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江西康富建设工程有限公司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207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江山市冠龙水利建设有限公司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88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新疆中水建设开发有限公司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208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浙江同鑫建设有限公司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89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湖北凯耀宏建设工程有限公司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209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安丘市水利建筑安装公司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90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秦勋伟业建设有限公司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210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江西宏龙建设工程有限公司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91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瀚川建工集团有限公司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211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江西永芃建设有限公司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92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河南舜禹水利建筑工程有限公司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212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贵州新时代建设有限公司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93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江西建宏建业工程有限公司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213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江西高基建设有限公司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94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桐庐富春水利水电建筑有限公司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214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江西启驰建设工程有限公司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95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江西凌东建设工程有限公司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215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浙江国邺建设有限公司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96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江西赣基集团工程有限公司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216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江西德瀚建设工程有限公司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97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江西省赣北建设有限公司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217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江西长生建设工程有限公司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98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浙江巨江水电建设有限公司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218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安徽笃敬建筑工程有限公司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99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江西济宇建设工程有限公司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219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江西省筑轩建设有限公司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100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江西杭青建设有限公司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220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云南浩翔建设工程有限公司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101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江西志帮实业有限公司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221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陕西欣朗建设工程有限公司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102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江西省德安县水利水电建筑工程公司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222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四川毅尔义建设工程有限公司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103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河南省鹏升建筑工程有限公司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223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福建万禹建设有限公司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104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湖北域峰建设工程有限公司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224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福建厚禹建设工程有限公司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105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福建省金禹建设工程有限公司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225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云南尚泓建筑工程有限责任公司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106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江西大河建设集团有限公司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226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陕西科恩建设工程有限公司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107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福建省闽联工程建设有限公司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227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福建东煌建设工程有限公司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108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湖南德禹建设有限公司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228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杭州盛平水利水电建设有限公司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109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江西中惠水利水电建设工程有限公司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229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浙江鸿禹水利建设有限公司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110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浙江涌洲建设有限公司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230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中恒华美建筑工程集团有限公司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111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江西利涛建设工程有限责任公司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231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浙江顺合建设有限公司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112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江西中一建工集团有限公司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232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淳安千岛湖淳氏建设有限公司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113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贵州普华建设工程有限公司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233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浙江布拉雷水利水电建筑有限公司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114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江西福康水利建筑有限公司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234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衢州明宇建设有限公司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115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江西汉超实业有限公司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235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浙江顺民建设有限公司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116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赣州辰特建设集团有限公司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236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浙江勇峰建设有限公司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117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江西晨威建设工程有限公司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237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浙江安禹建设有限公司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118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江西景诚建设有限公司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238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丽水广盛建设工程有限公司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119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江西祥华建设有限公司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239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江西奕博建设工程有限公司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120</w:t>
            </w:r>
          </w:p>
        </w:tc>
        <w:tc>
          <w:tcPr>
            <w:tcW w:w="4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</w:rPr>
              <w:t>娄底市水利水电工程建设有限责任公司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</w:tr>
    </w:tbl>
    <w:p>
      <w:pPr>
        <w:pStyle w:val="4"/>
        <w:widowControl/>
        <w:jc w:val="left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 </w:t>
      </w:r>
    </w:p>
    <w:p>
      <w:pPr>
        <w:pStyle w:val="4"/>
        <w:widowControl/>
        <w:jc w:val="left"/>
        <w:rPr>
          <w:rFonts w:ascii="宋体" w:hAnsi="宋体" w:cs="宋体"/>
          <w:color w:val="000000"/>
          <w:shd w:val="clear" w:color="auto" w:fill="FFFFFF"/>
        </w:rPr>
      </w:pPr>
    </w:p>
    <w:p>
      <w:pPr>
        <w:pStyle w:val="4"/>
        <w:widowControl/>
        <w:jc w:val="left"/>
        <w:rPr>
          <w:rFonts w:ascii="宋体" w:hAnsi="宋体" w:cs="宋体"/>
          <w:color w:val="000000"/>
          <w:shd w:val="clear" w:color="auto" w:fill="FFFFFF"/>
        </w:rPr>
      </w:pPr>
    </w:p>
    <w:p>
      <w:pPr>
        <w:pStyle w:val="4"/>
        <w:widowControl/>
        <w:jc w:val="left"/>
        <w:rPr>
          <w:rFonts w:ascii="宋体" w:hAnsi="宋体" w:cs="宋体"/>
          <w:color w:val="000000"/>
          <w:shd w:val="clear" w:color="auto" w:fill="FFFFFF"/>
        </w:rPr>
      </w:pPr>
    </w:p>
    <w:bookmarkEnd w:id="1"/>
    <w:p>
      <w:pPr>
        <w:pStyle w:val="4"/>
        <w:widowControl/>
        <w:jc w:val="left"/>
        <w:rPr>
          <w:rFonts w:ascii="宋体" w:hAnsi="宋体" w:cs="宋体"/>
          <w:color w:val="000000"/>
          <w:shd w:val="clear" w:color="auto" w:fill="FFFFFF"/>
        </w:rPr>
      </w:pPr>
    </w:p>
    <w:p>
      <w:pPr>
        <w:pStyle w:val="4"/>
        <w:widowControl/>
        <w:jc w:val="left"/>
        <w:rPr>
          <w:rFonts w:ascii="宋体" w:hAnsi="宋体" w:cs="宋体"/>
          <w:color w:val="000000"/>
          <w:shd w:val="clear" w:color="auto" w:fill="FFFFFF"/>
        </w:rPr>
      </w:pPr>
    </w:p>
    <w:p>
      <w:pPr>
        <w:pStyle w:val="4"/>
        <w:widowControl/>
        <w:jc w:val="left"/>
        <w:rPr>
          <w:rFonts w:ascii="宋体" w:hAnsi="宋体" w:cs="宋体"/>
          <w:color w:val="000000"/>
          <w:shd w:val="clear" w:color="auto" w:fill="FFFFFF"/>
        </w:rPr>
      </w:pPr>
    </w:p>
    <w:p>
      <w:pPr>
        <w:pStyle w:val="4"/>
        <w:widowControl/>
        <w:jc w:val="left"/>
        <w:rPr>
          <w:rFonts w:ascii="宋体" w:hAnsi="宋体" w:cs="宋体"/>
          <w:color w:val="000000"/>
          <w:shd w:val="clear" w:color="auto" w:fill="FFFFFF"/>
        </w:rPr>
      </w:pPr>
    </w:p>
    <w:p>
      <w:pPr>
        <w:pStyle w:val="4"/>
        <w:widowControl/>
        <w:jc w:val="left"/>
      </w:pPr>
    </w:p>
    <w:p>
      <w:pPr>
        <w:pStyle w:val="4"/>
        <w:widowControl/>
        <w:jc w:val="left"/>
      </w:pPr>
    </w:p>
    <w:p>
      <w:pPr>
        <w:widowControl/>
        <w:jc w:val="left"/>
        <w:outlineLvl w:val="0"/>
      </w:pP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</w:rPr>
        <w:t> 进入资格评审名单：</w:t>
      </w:r>
    </w:p>
    <w:tbl>
      <w:tblPr>
        <w:tblStyle w:val="5"/>
        <w:tblW w:w="92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4437"/>
        <w:gridCol w:w="40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Style w:val="21"/>
                <w:rFonts w:hint="default"/>
                <w:b/>
                <w:sz w:val="21"/>
                <w:szCs w:val="21"/>
              </w:rPr>
              <w:t>序号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Style w:val="21"/>
                <w:rFonts w:hint="default"/>
                <w:b/>
                <w:sz w:val="21"/>
                <w:szCs w:val="21"/>
              </w:rPr>
              <w:t>施工投标单位名称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资格审查结果或废标原因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1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江西祥润水利建设有限公司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2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陕西光明建工集团有限公司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3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江西鹏达水利建设有限公司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4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江西丽龙水利建设有限公司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5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吉安吉荣实业工程有限责任公司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6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淳安县水利水电建设有限公司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7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娄底市娄星水利水电建设有限责任公司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8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浙江乾锦建设有限公司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9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山东海建水利工程有限公司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10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东营市垦利区水利工程公司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11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江西汉淼水利建设有限公司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12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广东浩禹建设有限公司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13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江西汇盟通建设工程有限公司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14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福建省岚禹建设工程有限公司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15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广东嘉应方海建设工程有限公司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不</w:t>
            </w: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16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嗣晟建工有限公司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17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河南水诚建设工程有限公司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18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四川晨沛建设工程有限公司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19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江西宏工建设工程有限公司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20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安徽腾泰建筑工程有限公司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不</w:t>
            </w: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21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湖北彤天建设工程有限公司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22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安徽展坤建设工程有限公司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23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江西泰林建设工程有限公司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24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四川合园水利工程有限公司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25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安徽尚泰建筑工程有限公司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26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天亿建设集团有限公司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27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湖北驭水工程建设有限公司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28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福建省霞浦县江海水电工程建设有限公司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29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湖南弘湘建设工程管理有限公司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spacing w:line="0" w:lineRule="atLeast"/>
              <w:jc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30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江西伟能建设工程有限公司</w:t>
            </w:r>
          </w:p>
        </w:tc>
        <w:tc>
          <w:tcPr>
            <w:tcW w:w="4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通过</w:t>
            </w:r>
          </w:p>
        </w:tc>
      </w:tr>
    </w:tbl>
    <w:p>
      <w:pPr>
        <w:widowControl/>
        <w:spacing w:line="480" w:lineRule="exact"/>
        <w:jc w:val="left"/>
        <w:rPr>
          <w:rFonts w:ascii="宋体" w:hAnsi="宋体" w:cs="宋体"/>
          <w:color w:val="000000"/>
          <w:kern w:val="0"/>
          <w:sz w:val="24"/>
          <w:shd w:val="clear" w:color="auto" w:fill="FFFFFF"/>
        </w:rPr>
      </w:pPr>
    </w:p>
    <w:p>
      <w:pPr>
        <w:widowControl/>
        <w:spacing w:line="480" w:lineRule="exact"/>
        <w:jc w:val="left"/>
        <w:rPr>
          <w:rFonts w:ascii="宋体" w:hAnsi="宋体" w:cs="宋体"/>
          <w:color w:val="000000"/>
          <w:kern w:val="0"/>
          <w:sz w:val="24"/>
          <w:shd w:val="clear" w:color="auto" w:fill="FFFFFF"/>
        </w:rPr>
      </w:pPr>
    </w:p>
    <w:p>
      <w:pPr>
        <w:widowControl/>
        <w:spacing w:line="480" w:lineRule="exact"/>
        <w:jc w:val="left"/>
      </w:pP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</w:rPr>
        <w:t>经评标专家委员会评审，确定了中标候选人，现公示如下：</w:t>
      </w:r>
    </w:p>
    <w:tbl>
      <w:tblPr>
        <w:tblStyle w:val="5"/>
        <w:tblW w:w="923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2"/>
        <w:gridCol w:w="2762"/>
        <w:gridCol w:w="1721"/>
        <w:gridCol w:w="286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第一排序人</w:t>
            </w:r>
          </w:p>
        </w:tc>
        <w:tc>
          <w:tcPr>
            <w:tcW w:w="734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江西祥润水利建设有限公司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投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Cs w:val="21"/>
              </w:rPr>
              <w:t>标报价</w:t>
            </w:r>
            <w:r>
              <w:rPr>
                <w:rFonts w:hint="eastAsia"/>
                <w:color w:val="000000" w:themeColor="text1"/>
                <w:szCs w:val="21"/>
              </w:rPr>
              <w:t>（元）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cs="微软雅黑" w:asciiTheme="minorEastAsia" w:hAnsiTheme="minorEastAsia" w:eastAsiaTheme="minorEastAsia"/>
                <w:kern w:val="0"/>
                <w:szCs w:val="21"/>
              </w:rPr>
              <w:t>3470824.16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kern w:val="0"/>
                <w:szCs w:val="21"/>
              </w:rPr>
              <w:t>承诺工期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kern w:val="0"/>
                <w:szCs w:val="21"/>
              </w:rPr>
              <w:t>300日历天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项目负责人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kern w:val="0"/>
                <w:szCs w:val="21"/>
              </w:rPr>
              <w:t>黄越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color w:val="333333"/>
                <w:kern w:val="0"/>
                <w:szCs w:val="21"/>
              </w:rPr>
              <w:t>注册证号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赣236161763087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第二排序人</w:t>
            </w:r>
          </w:p>
        </w:tc>
        <w:tc>
          <w:tcPr>
            <w:tcW w:w="734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kern w:val="0"/>
                <w:szCs w:val="21"/>
              </w:rPr>
              <w:t>陕西光明建工集团有限公司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投标报价</w:t>
            </w:r>
            <w:r>
              <w:rPr>
                <w:rFonts w:hint="eastAsia"/>
                <w:color w:val="000000"/>
                <w:szCs w:val="21"/>
              </w:rPr>
              <w:t>（元）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3469705.18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kern w:val="0"/>
                <w:szCs w:val="21"/>
              </w:rPr>
              <w:t>承诺工期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kern w:val="0"/>
                <w:szCs w:val="21"/>
              </w:rPr>
              <w:t>300日历天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8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项目负责人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白陇凤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color w:val="333333"/>
                <w:kern w:val="0"/>
                <w:szCs w:val="21"/>
              </w:rPr>
              <w:t>注册证号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陕261222262596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第三排序人</w:t>
            </w:r>
          </w:p>
        </w:tc>
        <w:tc>
          <w:tcPr>
            <w:tcW w:w="73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kern w:val="0"/>
                <w:szCs w:val="21"/>
              </w:rPr>
              <w:t>江西鹏达水利建设有限公司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投标报价</w:t>
            </w:r>
            <w:r>
              <w:rPr>
                <w:rFonts w:hint="eastAsia"/>
                <w:color w:val="000000"/>
                <w:szCs w:val="21"/>
              </w:rPr>
              <w:t>（元）</w:t>
            </w:r>
          </w:p>
        </w:tc>
        <w:tc>
          <w:tcPr>
            <w:tcW w:w="2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3469848.84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kern w:val="0"/>
                <w:szCs w:val="21"/>
              </w:rPr>
              <w:t>承诺工期</w:t>
            </w:r>
          </w:p>
        </w:tc>
        <w:tc>
          <w:tcPr>
            <w:tcW w:w="2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color w:val="333333"/>
                <w:kern w:val="0"/>
                <w:szCs w:val="21"/>
              </w:rPr>
              <w:t>300日历天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项目负责人</w:t>
            </w:r>
          </w:p>
        </w:tc>
        <w:tc>
          <w:tcPr>
            <w:tcW w:w="2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苏娜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color w:val="333333"/>
                <w:kern w:val="0"/>
                <w:szCs w:val="21"/>
              </w:rPr>
              <w:t>注册证号</w:t>
            </w:r>
          </w:p>
        </w:tc>
        <w:tc>
          <w:tcPr>
            <w:tcW w:w="2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赣236191902509</w:t>
            </w:r>
          </w:p>
        </w:tc>
      </w:tr>
    </w:tbl>
    <w:p>
      <w:pPr>
        <w:spacing w:line="400" w:lineRule="exact"/>
        <w:ind w:firstLine="480" w:firstLineChars="200"/>
        <w:rPr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根据《中华人民共和国招标投标法实施条例》第五十四条规定，本次公示中标候选人公示期为3日，公示起始日期为</w:t>
      </w:r>
      <w:r>
        <w:rPr>
          <w:rFonts w:hint="eastAsia" w:ascii="宋体" w:hAnsi="宋体" w:cs="宋体"/>
          <w:color w:val="000000" w:themeColor="text1"/>
          <w:kern w:val="0"/>
          <w:sz w:val="24"/>
        </w:rPr>
        <w:t>：</w:t>
      </w:r>
      <w:r>
        <w:rPr>
          <w:rFonts w:hint="eastAsia" w:ascii="宋体" w:hAnsi="宋体" w:cs="宋体"/>
          <w:color w:val="FF0000"/>
          <w:kern w:val="0"/>
          <w:sz w:val="24"/>
        </w:rPr>
        <w:t xml:space="preserve">2024年1月 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11</w:t>
      </w:r>
      <w:r>
        <w:rPr>
          <w:rFonts w:hint="eastAsia" w:ascii="宋体" w:hAnsi="宋体" w:cs="宋体"/>
          <w:color w:val="FF0000"/>
          <w:kern w:val="0"/>
          <w:sz w:val="24"/>
        </w:rPr>
        <w:t xml:space="preserve"> 日至2024年1月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15</w:t>
      </w:r>
      <w:r>
        <w:rPr>
          <w:rFonts w:hint="eastAsia" w:ascii="宋体" w:hAnsi="宋体" w:cs="宋体"/>
          <w:color w:val="FF0000"/>
          <w:kern w:val="0"/>
          <w:sz w:val="24"/>
        </w:rPr>
        <w:t xml:space="preserve"> 日，</w:t>
      </w:r>
      <w:r>
        <w:rPr>
          <w:rFonts w:hint="eastAsia" w:ascii="宋体" w:hAnsi="宋体" w:cs="宋体"/>
          <w:color w:val="000000" w:themeColor="text1"/>
          <w:kern w:val="0"/>
          <w:sz w:val="24"/>
        </w:rPr>
        <w:t>对上述结果如有异议，请按照《工程建设项目招标投标活动投诉处理办法》（国家发改委等7部委令第11号）的规定和程序，投诉人应当在公示截止时间前</w:t>
      </w:r>
      <w:r>
        <w:rPr>
          <w:rFonts w:hint="eastAsia" w:ascii="宋体" w:hAnsi="宋体" w:cs="宋体"/>
          <w:color w:val="FF0000"/>
          <w:kern w:val="0"/>
          <w:sz w:val="24"/>
        </w:rPr>
        <w:t>（2024年1月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15</w:t>
      </w:r>
      <w:r>
        <w:rPr>
          <w:rFonts w:hint="eastAsia" w:ascii="宋体" w:hAnsi="宋体" w:cs="宋体"/>
          <w:color w:val="FF0000"/>
          <w:kern w:val="0"/>
          <w:sz w:val="24"/>
        </w:rPr>
        <w:t xml:space="preserve"> 日</w:t>
      </w:r>
      <w:r>
        <w:rPr>
          <w:rFonts w:hint="eastAsia" w:ascii="宋体" w:hAnsi="宋体" w:cs="宋体"/>
          <w:color w:val="000000" w:themeColor="text1"/>
          <w:kern w:val="0"/>
          <w:sz w:val="24"/>
        </w:rPr>
        <w:t>下午17：00前）</w:t>
      </w:r>
      <w:r>
        <w:rPr>
          <w:rFonts w:hint="eastAsia" w:ascii="宋体" w:hAnsi="宋体" w:cs="宋体"/>
          <w:color w:val="333333"/>
          <w:kern w:val="0"/>
          <w:sz w:val="24"/>
        </w:rPr>
        <w:t>提交书面投诉书，投诉书必须加盖单位公章及法定代表人印章。投诉书应当包括以下内容：投诉人的名称、地址、有效联系方式；被投诉人的名称、地址；投诉事项的基本事实；相关请求以及主张；有效线索和相关证明材料。投诉人不得故意捏造事实、伪造证明材料进行虚假恶意投诉，违者按有关规定进行处理。携带授权委托书及本人身份证和</w:t>
      </w:r>
      <w:r>
        <w:rPr>
          <w:rFonts w:hint="eastAsia"/>
          <w:sz w:val="24"/>
        </w:rPr>
        <w:t>投诉书原件向如下单位投诉，逾期不予受理。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招标人：玉山县下塘乡人民政府   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联系方式：17721460200 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招标代理机构：江西银信工程造价咨询有限公司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招标代理机构项目负责人：官女士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联系方式：13517913266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行政监督单位：玉山县水利工程招投标办公室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联系方式：0793-2560831</w:t>
      </w: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rPr>
          <w:rFonts w:ascii="宋体" w:hAnsi="宋体" w:cs="宋体"/>
          <w:color w:val="FF0000"/>
          <w:kern w:val="0"/>
          <w:sz w:val="24"/>
          <w:shd w:val="clear" w:color="auto" w:fill="FFFFFF"/>
        </w:rPr>
      </w:pPr>
      <w:r>
        <w:rPr>
          <w:rFonts w:hint="eastAsia"/>
          <w:sz w:val="24"/>
        </w:rPr>
        <w:t> 　　　　　　　　　　     　                    　    </w:t>
      </w:r>
      <w:r>
        <w:rPr>
          <w:rFonts w:hint="eastAsia"/>
          <w:color w:val="FF0000"/>
          <w:sz w:val="24"/>
        </w:rPr>
        <w:t>2024年1月</w:t>
      </w:r>
      <w:r>
        <w:rPr>
          <w:rFonts w:hint="eastAsia"/>
          <w:color w:val="FF0000"/>
          <w:sz w:val="24"/>
          <w:lang w:val="en-US" w:eastAsia="zh-CN"/>
        </w:rPr>
        <w:t>11</w:t>
      </w:r>
      <w:r>
        <w:rPr>
          <w:rFonts w:hint="eastAsia"/>
          <w:color w:val="FF0000"/>
          <w:sz w:val="24"/>
        </w:rPr>
        <w:t>日</w:t>
      </w:r>
      <w:r>
        <w:rPr>
          <w:rFonts w:hint="eastAsia" w:ascii="宋体" w:hAnsi="宋体" w:cs="宋体"/>
          <w:color w:val="FF0000"/>
          <w:kern w:val="0"/>
          <w:sz w:val="24"/>
          <w:shd w:val="clear" w:color="auto" w:fill="FFFFFF"/>
        </w:rPr>
        <w:t> </w:t>
      </w:r>
    </w:p>
    <w:sectPr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172A27"/>
    <w:rsid w:val="00005CAF"/>
    <w:rsid w:val="00094BEC"/>
    <w:rsid w:val="00106454"/>
    <w:rsid w:val="00150932"/>
    <w:rsid w:val="00172A27"/>
    <w:rsid w:val="00192E0A"/>
    <w:rsid w:val="001A14DF"/>
    <w:rsid w:val="00287FD4"/>
    <w:rsid w:val="003050E0"/>
    <w:rsid w:val="00326DB6"/>
    <w:rsid w:val="004123C3"/>
    <w:rsid w:val="004A3E48"/>
    <w:rsid w:val="006D4F11"/>
    <w:rsid w:val="008032F0"/>
    <w:rsid w:val="0080397D"/>
    <w:rsid w:val="00820E84"/>
    <w:rsid w:val="00845C83"/>
    <w:rsid w:val="009D32BE"/>
    <w:rsid w:val="009E53E6"/>
    <w:rsid w:val="00A502BF"/>
    <w:rsid w:val="00A61C10"/>
    <w:rsid w:val="00B122D4"/>
    <w:rsid w:val="00BD762A"/>
    <w:rsid w:val="00CA4B22"/>
    <w:rsid w:val="00CE77EA"/>
    <w:rsid w:val="00E275F3"/>
    <w:rsid w:val="00E52C7E"/>
    <w:rsid w:val="00F51D40"/>
    <w:rsid w:val="00F56F42"/>
    <w:rsid w:val="00FD636C"/>
    <w:rsid w:val="0156352C"/>
    <w:rsid w:val="0219419F"/>
    <w:rsid w:val="048C4089"/>
    <w:rsid w:val="050D65F7"/>
    <w:rsid w:val="05AA27A2"/>
    <w:rsid w:val="0C501CA0"/>
    <w:rsid w:val="106C531F"/>
    <w:rsid w:val="10956A95"/>
    <w:rsid w:val="117F262B"/>
    <w:rsid w:val="16E42F30"/>
    <w:rsid w:val="16FA251C"/>
    <w:rsid w:val="1AE64B1C"/>
    <w:rsid w:val="1CB33AD0"/>
    <w:rsid w:val="1FDC6E9A"/>
    <w:rsid w:val="21A55F15"/>
    <w:rsid w:val="22FA4207"/>
    <w:rsid w:val="237D6BE6"/>
    <w:rsid w:val="25983863"/>
    <w:rsid w:val="2DE943EA"/>
    <w:rsid w:val="429971F3"/>
    <w:rsid w:val="45260A34"/>
    <w:rsid w:val="455C483A"/>
    <w:rsid w:val="476D64A6"/>
    <w:rsid w:val="4B520BF6"/>
    <w:rsid w:val="4EBB21ED"/>
    <w:rsid w:val="55760C1C"/>
    <w:rsid w:val="5F166FCB"/>
    <w:rsid w:val="5F1930FE"/>
    <w:rsid w:val="64AD223E"/>
    <w:rsid w:val="652A557F"/>
    <w:rsid w:val="65B17A4E"/>
    <w:rsid w:val="685F7C35"/>
    <w:rsid w:val="6B947B08"/>
    <w:rsid w:val="6DE031F1"/>
    <w:rsid w:val="6E3D4575"/>
    <w:rsid w:val="6FD607DD"/>
    <w:rsid w:val="7414200C"/>
    <w:rsid w:val="78520C1D"/>
    <w:rsid w:val="7A903C7E"/>
    <w:rsid w:val="7C1D74B0"/>
    <w:rsid w:val="7CA852AF"/>
    <w:rsid w:val="7E9E2E0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iPriority="0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iPriority="0" w:semiHidden="0" w:name="Normal (Web)"/>
    <w:lsdException w:qFormat="1" w:uiPriority="0" w:semiHidden="0" w:name="HTML Acronym"/>
    <w:lsdException w:qFormat="1" w:unhideWhenUsed="0" w:uiPriority="0" w:semiHidden="0" w:name="HTML Address"/>
    <w:lsdException w:qFormat="1" w:uiPriority="0" w:semiHidden="0" w:name="HTML Cite"/>
    <w:lsdException w:qFormat="1" w:uiPriority="0" w:semiHidden="0" w:name="HTML Code"/>
    <w:lsdException w:qFormat="1" w:uiPriority="0" w:semiHidden="0" w:name="HTML Definition"/>
    <w:lsdException w:qFormat="1" w:uiPriority="0" w:semiHidden="0" w:name="HTML Keyboard"/>
    <w:lsdException w:qFormat="1" w:unhideWhenUsed="0" w:uiPriority="0" w:semiHidden="0" w:name="HTML Preformatted"/>
    <w:lsdException w:qFormat="1" w:uiPriority="0" w:semiHidden="0" w:name="HTML Sample"/>
    <w:lsdException w:qFormat="1" w:uiPriority="0" w:semiHidden="0" w:name="HTML Typewriter"/>
    <w:lsdException w:qFormat="1" w:uiPriority="0" w:semiHidden="0" w:name="HTML Variable"/>
    <w:lsdException w:qFormat="1" w:uiPriority="99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rPr>
      <w:sz w:val="24"/>
    </w:rPr>
  </w:style>
  <w:style w:type="character" w:styleId="7">
    <w:name w:val="FollowedHyperlink"/>
    <w:basedOn w:val="6"/>
    <w:unhideWhenUsed/>
    <w:qFormat/>
    <w:uiPriority w:val="0"/>
    <w:rPr>
      <w:rFonts w:hint="default"/>
      <w:color w:val="800080"/>
      <w:sz w:val="24"/>
      <w:szCs w:val="24"/>
    </w:rPr>
  </w:style>
  <w:style w:type="character" w:styleId="8">
    <w:name w:val="HTML Definition"/>
    <w:basedOn w:val="6"/>
    <w:autoRedefine/>
    <w:unhideWhenUsed/>
    <w:qFormat/>
    <w:uiPriority w:val="0"/>
    <w:rPr>
      <w:rFonts w:hint="default"/>
      <w:sz w:val="24"/>
      <w:szCs w:val="24"/>
    </w:rPr>
  </w:style>
  <w:style w:type="character" w:styleId="9">
    <w:name w:val="HTML Typewriter"/>
    <w:basedOn w:val="6"/>
    <w:autoRedefine/>
    <w:unhideWhenUsed/>
    <w:qFormat/>
    <w:uiPriority w:val="0"/>
    <w:rPr>
      <w:rFonts w:hint="default" w:ascii="monospace" w:hAnsi="monospace" w:eastAsia="monospace" w:cs="monospace"/>
      <w:sz w:val="20"/>
      <w:szCs w:val="24"/>
    </w:rPr>
  </w:style>
  <w:style w:type="character" w:styleId="10">
    <w:name w:val="HTML Acronym"/>
    <w:basedOn w:val="6"/>
    <w:autoRedefine/>
    <w:unhideWhenUsed/>
    <w:qFormat/>
    <w:uiPriority w:val="0"/>
    <w:rPr>
      <w:rFonts w:hint="default"/>
      <w:sz w:val="24"/>
      <w:szCs w:val="24"/>
    </w:rPr>
  </w:style>
  <w:style w:type="character" w:styleId="11">
    <w:name w:val="HTML Variable"/>
    <w:basedOn w:val="6"/>
    <w:autoRedefine/>
    <w:unhideWhenUsed/>
    <w:qFormat/>
    <w:uiPriority w:val="0"/>
    <w:rPr>
      <w:rFonts w:hint="default"/>
      <w:sz w:val="24"/>
      <w:szCs w:val="24"/>
    </w:rPr>
  </w:style>
  <w:style w:type="character" w:styleId="12">
    <w:name w:val="Hyperlink"/>
    <w:basedOn w:val="6"/>
    <w:autoRedefine/>
    <w:unhideWhenUsed/>
    <w:qFormat/>
    <w:uiPriority w:val="0"/>
    <w:rPr>
      <w:rFonts w:hint="default"/>
      <w:color w:val="0000FF"/>
      <w:sz w:val="24"/>
      <w:szCs w:val="24"/>
    </w:rPr>
  </w:style>
  <w:style w:type="character" w:styleId="13">
    <w:name w:val="HTML Code"/>
    <w:basedOn w:val="6"/>
    <w:autoRedefine/>
    <w:unhideWhenUsed/>
    <w:qFormat/>
    <w:uiPriority w:val="0"/>
    <w:rPr>
      <w:rFonts w:hint="default" w:ascii="monospace" w:hAnsi="monospace" w:eastAsia="monospace" w:cs="monospace"/>
      <w:sz w:val="20"/>
      <w:szCs w:val="24"/>
    </w:rPr>
  </w:style>
  <w:style w:type="character" w:styleId="14">
    <w:name w:val="HTML Cite"/>
    <w:basedOn w:val="6"/>
    <w:autoRedefine/>
    <w:unhideWhenUsed/>
    <w:qFormat/>
    <w:uiPriority w:val="0"/>
    <w:rPr>
      <w:rFonts w:hint="default"/>
      <w:sz w:val="24"/>
      <w:szCs w:val="24"/>
    </w:rPr>
  </w:style>
  <w:style w:type="character" w:styleId="15">
    <w:name w:val="HTML Keyboard"/>
    <w:basedOn w:val="6"/>
    <w:autoRedefine/>
    <w:unhideWhenUsed/>
    <w:qFormat/>
    <w:uiPriority w:val="0"/>
    <w:rPr>
      <w:rFonts w:hint="default" w:ascii="monospace" w:hAnsi="monospace" w:eastAsia="monospace" w:cs="monospace"/>
      <w:sz w:val="20"/>
      <w:szCs w:val="24"/>
    </w:rPr>
  </w:style>
  <w:style w:type="character" w:styleId="16">
    <w:name w:val="HTML Sample"/>
    <w:basedOn w:val="6"/>
    <w:autoRedefine/>
    <w:unhideWhenUsed/>
    <w:qFormat/>
    <w:uiPriority w:val="0"/>
    <w:rPr>
      <w:rFonts w:hint="default" w:ascii="monospace" w:hAnsi="monospace" w:eastAsia="monospace" w:cs="monospace"/>
      <w:sz w:val="24"/>
      <w:szCs w:val="24"/>
    </w:rPr>
  </w:style>
  <w:style w:type="character" w:customStyle="1" w:styleId="17">
    <w:name w:val="layui-this"/>
    <w:basedOn w:val="6"/>
    <w:autoRedefine/>
    <w:unhideWhenUsed/>
    <w:qFormat/>
    <w:uiPriority w:val="0"/>
    <w:rPr>
      <w:rFonts w:hint="default"/>
      <w:sz w:val="24"/>
      <w:szCs w:val="24"/>
      <w:bdr w:val="single" w:color="auto" w:sz="6" w:space="0"/>
      <w:shd w:val="clear" w:color="auto" w:fill="FFFFFF"/>
    </w:rPr>
  </w:style>
  <w:style w:type="character" w:customStyle="1" w:styleId="18">
    <w:name w:val="font41"/>
    <w:basedOn w:val="6"/>
    <w:autoRedefine/>
    <w:unhideWhenUsed/>
    <w:qFormat/>
    <w:uiPriority w:val="0"/>
    <w:rPr>
      <w:rFonts w:hint="eastAsia" w:ascii="宋体" w:hAnsi="宋体" w:eastAsia="宋体" w:cs="宋体"/>
      <w:color w:val="000000"/>
      <w:sz w:val="24"/>
      <w:szCs w:val="24"/>
    </w:rPr>
  </w:style>
  <w:style w:type="character" w:customStyle="1" w:styleId="19">
    <w:name w:val="first-child"/>
    <w:basedOn w:val="6"/>
    <w:autoRedefine/>
    <w:unhideWhenUsed/>
    <w:qFormat/>
    <w:uiPriority w:val="0"/>
    <w:rPr>
      <w:rFonts w:hint="default"/>
      <w:sz w:val="24"/>
      <w:szCs w:val="24"/>
    </w:rPr>
  </w:style>
  <w:style w:type="character" w:customStyle="1" w:styleId="20">
    <w:name w:val="font01"/>
    <w:basedOn w:val="6"/>
    <w:autoRedefine/>
    <w:unhideWhenUsed/>
    <w:qFormat/>
    <w:uiPriority w:val="0"/>
    <w:rPr>
      <w:rFonts w:hint="eastAsia" w:ascii="宋体" w:hAnsi="宋体" w:eastAsia="宋体" w:cs="宋体"/>
      <w:color w:val="000000"/>
      <w:sz w:val="21"/>
      <w:szCs w:val="21"/>
    </w:rPr>
  </w:style>
  <w:style w:type="character" w:customStyle="1" w:styleId="21">
    <w:name w:val="font11"/>
    <w:basedOn w:val="6"/>
    <w:autoRedefine/>
    <w:unhideWhenUsed/>
    <w:qFormat/>
    <w:uiPriority w:val="0"/>
    <w:rPr>
      <w:rFonts w:hint="eastAsia" w:ascii="宋体" w:hAnsi="宋体" w:eastAsia="宋体" w:cs="宋体"/>
      <w:color w:val="000000"/>
      <w:sz w:val="20"/>
      <w:szCs w:val="20"/>
    </w:rPr>
  </w:style>
  <w:style w:type="character" w:customStyle="1" w:styleId="22">
    <w:name w:val="页眉 Char"/>
    <w:basedOn w:val="6"/>
    <w:link w:val="3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3">
    <w:name w:val="页脚 Char"/>
    <w:basedOn w:val="6"/>
    <w:link w:val="2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4">
    <w:name w:val="layui-this2"/>
    <w:basedOn w:val="6"/>
    <w:autoRedefine/>
    <w:qFormat/>
    <w:uiPriority w:val="0"/>
    <w:rPr>
      <w:bdr w:val="single" w:color="EEEEEE" w:sz="4" w:space="0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856</Words>
  <Characters>4881</Characters>
  <Lines>40</Lines>
  <Paragraphs>11</Paragraphs>
  <TotalTime>152</TotalTime>
  <ScaleCrop>false</ScaleCrop>
  <LinksUpToDate>false</LinksUpToDate>
  <CharactersWithSpaces>5726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2023-08-25T02:27:00Z</dcterms:created>
  <dc:creator>Administrator</dc:creator>
  <cp:lastModifiedBy>喂你好啊。</cp:lastModifiedBy>
  <dcterms:modified xsi:type="dcterms:W3CDTF">2024-01-11T02:58:00Z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3F92551198A947AE9BDEE8C2EDC2E2C5_13</vt:lpwstr>
  </property>
</Properties>
</file>